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widowControl w:val="false"/>
        <w:spacing w:lineRule="auto" w:line="240" w:before="0" w:after="240"/>
        <w:rPr/>
      </w:pPr>
      <w:r>
        <w:rPr>
          <w:rStyle w:val="Sterkaccent"/>
          <w:rFonts w:cs="Arial" w:ascii="Arial" w:hAnsi="Arial"/>
          <w:b/>
          <w:bCs/>
          <w:sz w:val="20"/>
          <w:szCs w:val="20"/>
        </w:rPr>
        <w:t>Ie</w:t>
      </w:r>
      <w:r>
        <w:rPr>
          <w:rStyle w:val="Sterkaccent"/>
          <w:rFonts w:cs="Arial" w:ascii="Arial" w:hAnsi="Arial"/>
          <w:b/>
          <w:bCs/>
          <w:sz w:val="20"/>
          <w:szCs w:val="20"/>
        </w:rPr>
        <w:t xml:space="preserve">der(in) </w:t>
      </w:r>
      <w:r>
        <w:rPr>
          <w:rStyle w:val="Sterkaccent"/>
          <w:rFonts w:cs="Arial" w:ascii="Arial" w:hAnsi="Arial"/>
          <w:b/>
          <w:bCs/>
          <w:sz w:val="20"/>
          <w:szCs w:val="20"/>
        </w:rPr>
        <w:t>Netwerk voor mensen met een beperking of chronische ziekt</w:t>
      </w:r>
      <w:r>
        <w:rPr>
          <w:rStyle w:val="Sterkaccent"/>
          <w:rFonts w:cs="Arial" w:ascii="Arial" w:hAnsi="Arial"/>
          <w:b/>
          <w:bCs/>
          <w:sz w:val="20"/>
          <w:szCs w:val="20"/>
        </w:rPr>
        <w:t>e; juli 2018</w:t>
      </w:r>
    </w:p>
    <w:p>
      <w:pPr>
        <w:pStyle w:val="Tekstblok"/>
        <w:widowControl w:val="false"/>
        <w:spacing w:lineRule="auto" w:line="240" w:before="0" w:after="240"/>
        <w:rPr/>
      </w:pPr>
      <w:r>
        <w:rPr>
          <w:rStyle w:val="Sterkaccent"/>
          <w:rFonts w:cs="Arial" w:ascii="Arial" w:hAnsi="Arial"/>
          <w:sz w:val="20"/>
          <w:szCs w:val="20"/>
        </w:rPr>
        <w:t>VN-verdrag</w:t>
      </w:r>
      <w:r>
        <w:rPr>
          <w:rFonts w:cs="Arial" w:ascii="Arial" w:hAnsi="Arial"/>
          <w:b/>
          <w:bCs/>
          <w:sz w:val="20"/>
          <w:szCs w:val="20"/>
        </w:rPr>
        <w:br/>
        <w:t>In 2006 heeft de VN het Verdrag inzake de rechten van personen met een handicap opgesteld. Dit verdrag is een belangrijke erkenning van de gelijkwaardigheid, zelfstandigheid en waardigheid van mensen met een beperking of chronische ziekte.</w:t>
        <w:br/>
        <w:t>Veel landen, waaronder Nederland, hebben het verdrag in 2007 ondertekend. Het verdrag geldt echter pas volledig als de regering het verdrag heeft bekrachtigd (geratificeerd). Nederland heeft het VN-verdrag geratificeerd op 14 juli 2016.</w:t>
      </w:r>
    </w:p>
    <w:p>
      <w:pPr>
        <w:pStyle w:val="Tekstblok"/>
        <w:rPr/>
      </w:pPr>
      <w:r>
        <w:rPr/>
        <w:t>Met de ratificatie is de Wet Gelijke Behandeling voor chronisch zieken en gehandicapten (WGB h/cz) uitgebreid met de thema’s goederen en diensten. Ook is er een maatregel van bestuur ingesteld, het “</w:t>
      </w:r>
      <w:r>
        <w:rPr/>
        <w:t xml:space="preserve">Besluit toegankelijkheid”. </w:t>
      </w:r>
      <w:r>
        <w:rPr/>
        <w:t>Hierin staat hoe de implementatie van het VN-verdrag moet worden uitgevoerd.</w:t>
      </w:r>
    </w:p>
    <w:p>
      <w:pPr>
        <w:pStyle w:val="Tekstblok"/>
        <w:rPr/>
      </w:pPr>
      <w:r>
        <w:rPr>
          <w:rStyle w:val="Sterkaccent"/>
        </w:rPr>
        <w:t>Onbeperkt meedoen</w:t>
      </w:r>
      <w:r>
        <w:rPr/>
        <w:br/>
        <w:t xml:space="preserve">Minister De Jonge van VWS heeft in </w:t>
      </w:r>
      <w:r>
        <w:rPr/>
        <w:t xml:space="preserve">juni 2018 </w:t>
      </w:r>
      <w:r>
        <w:rPr/>
        <w:t>het programmaplan Onbeperkt meedoen! aan de Tweede Kamer gestuurd. Hij vertelt daarin hoe hij het VN-verdrag Handicap wil uitvoeren. De Jonge zegt te willen bereiken dat mensen met een beperking aan het eind van deze regeerperiode aantoonbaar beter kunnen participeren in de samenleving. </w:t>
      </w:r>
    </w:p>
    <w:p>
      <w:pPr>
        <w:pStyle w:val="Tekstblok"/>
        <w:rPr/>
      </w:pPr>
      <w:r>
        <w:rPr/>
        <w:t>Het Verdrag benoemt een duidelijk einddoel: een inclusieve samenleving waarin iedereen kan meedoen. Maar een inclusieve samenleving is niet in één dag bereikt, vraagt om een integrale aanpak en vergt de inzet van alle partijen in de samenleving. Een aantal van deze partijen treden naast de Rijksoverheid op als partners van het Verdrag.</w:t>
      </w:r>
    </w:p>
    <w:p>
      <w:pPr>
        <w:pStyle w:val="Tekstblok"/>
        <w:rPr/>
      </w:pPr>
      <w:r>
        <w:rPr/>
        <w:t>De partners zijn:</w:t>
      </w:r>
    </w:p>
    <w:p>
      <w:pPr>
        <w:pStyle w:val="Tekstblok"/>
        <w:numPr>
          <w:ilvl w:val="0"/>
          <w:numId w:val="1"/>
        </w:numPr>
        <w:tabs>
          <w:tab w:val="left" w:pos="0" w:leader="none"/>
        </w:tabs>
        <w:spacing w:before="0" w:after="0"/>
        <w:ind w:left="707" w:hanging="283"/>
        <w:rPr/>
      </w:pPr>
      <w:r>
        <w:rPr/>
        <w:t xml:space="preserve">De Alliantie VN-verdrag*, namens diverse vertegenwoordigende organisaties voor mensen met een beperking. Ieder(in) is onderdeel van de alliantie. </w:t>
      </w:r>
    </w:p>
    <w:p>
      <w:pPr>
        <w:pStyle w:val="Tekstblok"/>
        <w:numPr>
          <w:ilvl w:val="0"/>
          <w:numId w:val="1"/>
        </w:numPr>
        <w:tabs>
          <w:tab w:val="left" w:pos="0" w:leader="none"/>
        </w:tabs>
        <w:spacing w:before="0" w:after="0"/>
        <w:ind w:left="707" w:hanging="283"/>
        <w:rPr/>
      </w:pPr>
      <w:r>
        <w:rPr/>
        <w:t xml:space="preserve">VNO-NCW en MKB-Nederland, namens ondernemers en werkgevers </w:t>
      </w:r>
    </w:p>
    <w:p>
      <w:pPr>
        <w:pStyle w:val="Tekstblok"/>
        <w:numPr>
          <w:ilvl w:val="0"/>
          <w:numId w:val="1"/>
        </w:numPr>
        <w:tabs>
          <w:tab w:val="left" w:pos="0" w:leader="none"/>
        </w:tabs>
        <w:ind w:left="707" w:hanging="283"/>
        <w:rPr/>
      </w:pPr>
      <w:r>
        <w:rPr/>
        <w:t xml:space="preserve">VNG, namens gemeenten </w:t>
      </w:r>
    </w:p>
    <w:p>
      <w:pPr>
        <w:pStyle w:val="Tekstblok"/>
        <w:rPr/>
      </w:pPr>
      <w:r>
        <w:rPr/>
        <w:t>Ondernemers, gemeenten, landelijke overheden en maatschappelijke organisaties maken de komende jaren actieplannen voor het implementeren van het VN-verdrag.</w:t>
      </w:r>
    </w:p>
    <w:p>
      <w:pPr>
        <w:pStyle w:val="Tekstblok"/>
        <w:rPr/>
      </w:pPr>
      <w:r>
        <w:rPr>
          <w:rStyle w:val="Sterkaccent"/>
        </w:rPr>
        <w:t>Ervaringsdeskundigheid</w:t>
      </w:r>
      <w:r>
        <w:rPr/>
        <w:br/>
        <w:t xml:space="preserve">Een inclusieve samenleving kan alleen worden bereikt als de mensen om wie het gaat goed worden betrokken bij de aanpak. “Niets over ons zonder ons” is dan ook een belangrijke pijler in het plan. Dat wil zeggen dat mensen met een beperking in hun rol als burger, consument en belanghebbende  actief betrokken worden bij de totstandkoming van beleid. Ook in de actieplannen moet dit principe een plek krijgen. De Alliantie VN-verdrag ondersteunt de makers van de actieplannen daarin en zet daarbij ook haar eigen netwerk van ervaringsdeskundigen in. Bij het </w:t>
      </w:r>
      <w:r>
        <w:rPr/>
        <w:t xml:space="preserve">Adviespunt Ervaringsdeskundigheid </w:t>
      </w:r>
      <w:r>
        <w:rPr/>
        <w:t>kunnen zowel ervaringsdeskundigen als gemeenten en organisaties een ervaringsdeskundige willen inzetten, terecht met vragen over ervaringsdeskundigheid.</w:t>
      </w:r>
    </w:p>
    <w:p>
      <w:pPr>
        <w:pStyle w:val="Tekstblok"/>
        <w:rPr/>
      </w:pPr>
      <w:r>
        <w:rPr>
          <w:rStyle w:val="Geaccentueerd"/>
        </w:rPr>
        <w:t>*De Alliantie VN-verdrag is een samenwerkingsverband van Ieder(in), Per Saldo, MIND Landelijk platform, LFB en de Coalitie voor Inclusie en richt zich op de implementatie van het VN-verdrag.</w:t>
      </w:r>
    </w:p>
    <w:p>
      <w:pPr>
        <w:pStyle w:val="Normal"/>
        <w:widowControl w:val="false"/>
        <w:spacing w:lineRule="auto" w:line="240" w:before="0" w:after="240"/>
        <w:rPr>
          <w:rFonts w:ascii="Arial" w:hAnsi="Arial" w:cs="Arial"/>
          <w:b/>
          <w:b/>
          <w:bCs/>
          <w:sz w:val="20"/>
          <w:szCs w:val="20"/>
        </w:rPr>
      </w:pPr>
      <w:r>
        <w:rPr/>
      </w:r>
    </w:p>
    <w:p>
      <w:pPr>
        <w:pStyle w:val="Normal"/>
        <w:widowControl w:val="false"/>
        <w:spacing w:lineRule="auto" w:line="240" w:before="0" w:after="240"/>
        <w:rPr>
          <w:rFonts w:ascii="Arial" w:hAnsi="Arial" w:cs="Arial"/>
          <w:b/>
          <w:b/>
          <w:bCs/>
          <w:sz w:val="20"/>
          <w:szCs w:val="20"/>
        </w:rPr>
      </w:pPr>
      <w:bookmarkStart w:id="0" w:name="_GoBack"/>
      <w:bookmarkEnd w:id="0"/>
      <w:r>
        <w:rPr>
          <w:rFonts w:cs="Arial" w:ascii="Arial" w:hAnsi="Arial"/>
          <w:b/>
          <w:bCs/>
          <w:sz w:val="20"/>
          <w:szCs w:val="20"/>
        </w:rPr>
        <w:t>Artikel 9. Toegankelijkheid</w:t>
      </w:r>
    </w:p>
    <w:p>
      <w:pPr>
        <w:pStyle w:val="Normal"/>
        <w:widowControl w:val="false"/>
        <w:spacing w:lineRule="auto" w:line="240" w:before="0" w:after="240"/>
        <w:ind w:left="320" w:hanging="320"/>
        <w:rPr>
          <w:rFonts w:ascii="Arial" w:hAnsi="Arial" w:cs="Arial"/>
          <w:sz w:val="20"/>
          <w:szCs w:val="20"/>
        </w:rPr>
      </w:pPr>
      <w:r>
        <w:rPr>
          <w:rFonts w:cs="Arial" w:ascii="Arial" w:hAnsi="Arial"/>
          <w:b/>
          <w:bCs/>
          <w:sz w:val="20"/>
          <w:szCs w:val="20"/>
        </w:rPr>
        <w:t>1.</w:t>
        <w:tab/>
      </w:r>
      <w:r>
        <w:rPr>
          <w:rFonts w:cs="Arial" w:ascii="Arial" w:hAnsi="Arial"/>
          <w:sz w:val="20"/>
          <w:szCs w:val="20"/>
        </w:rPr>
        <w:t>Teneinde personen met een handicap in staat te stellen zelfstandig te leven en volledig deel te nemen aan alle facetten van het leven, nemen de Staten die Partij zijn passende maatregelen om personen met een handicap op voet van gelijkheid met anderen de toegang te garanderen tot de fysieke omgeving, tot vervoer, informatie en communicatie, met inbegrip van informatie- en communicatietechnologieën en –systemen, en tot andere voorzieningen en diensten die openstaan voor, of verleend worden aan het publiek, in zowel stedelijke als landelijke gebieden. Deze maatregelen, die mede de identificatie en bestrijding van obstakels en barrières voor de toegankelijkheid omvatten, zijn onder andere van toepassing op:</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a.</w:t>
        <w:tab/>
        <w:t>gebouwen, wegen, vervoer en andere voorzieningen in gebouwen en daarbuiten, met inbegrip van scholen, huisvesting, medische voorzieningen en werkplekken;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b.</w:t>
        <w:tab/>
        <w:t>informatie, communicatie en andere diensten, met inbegrip van elektronische diensten en nooddiensten.</w:t>
      </w:r>
    </w:p>
    <w:p>
      <w:pPr>
        <w:pStyle w:val="Normal"/>
        <w:widowControl w:val="false"/>
        <w:spacing w:lineRule="auto" w:line="240" w:before="0" w:after="0"/>
        <w:rPr>
          <w:rFonts w:ascii="Arial" w:hAnsi="Arial" w:cs="Arial"/>
          <w:sz w:val="20"/>
          <w:szCs w:val="20"/>
        </w:rPr>
      </w:pPr>
      <w:r>
        <w:rPr>
          <w:rFonts w:cs="Arial" w:ascii="Arial" w:hAnsi="Arial"/>
          <w:sz w:val="20"/>
          <w:szCs w:val="20"/>
        </w:rPr>
      </w:r>
    </w:p>
    <w:p>
      <w:pPr>
        <w:pStyle w:val="Normal"/>
        <w:widowControl w:val="false"/>
        <w:spacing w:lineRule="auto" w:line="240" w:before="0" w:after="240"/>
        <w:ind w:left="320" w:hanging="320"/>
        <w:rPr>
          <w:rFonts w:ascii="Arial" w:hAnsi="Arial" w:cs="Arial"/>
          <w:sz w:val="20"/>
          <w:szCs w:val="20"/>
        </w:rPr>
      </w:pPr>
      <w:r>
        <w:rPr>
          <w:rFonts w:cs="Arial" w:ascii="Arial" w:hAnsi="Arial"/>
          <w:b/>
          <w:bCs/>
          <w:sz w:val="20"/>
          <w:szCs w:val="20"/>
        </w:rPr>
        <w:t>2.</w:t>
        <w:tab/>
      </w:r>
      <w:r>
        <w:rPr>
          <w:rFonts w:cs="Arial" w:ascii="Arial" w:hAnsi="Arial"/>
          <w:sz w:val="20"/>
          <w:szCs w:val="20"/>
        </w:rPr>
        <w:t>De Staten die Partij zijn nemen tevens passende maatregelen om:</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a.</w:t>
        <w:tab/>
        <w:t>de implementatie van minimumnormen en richtlijnen voor de toegankelijkheid van faciliteiten en diensten die openstaan voor, of verleend worden aan het publiek, te ontwikkelen, af te kondigen en te monitoren;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b.</w:t>
        <w:tab/>
        <w:t>te waarborgen dat private instellingen die faciliteiten en diensten die openstaan voor, of verleend worden aan het publiek aanbieden, zich rekenschap geven van alle aspecten van de toegankelijkheid voor personen met een handicap;</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c.</w:t>
        <w:tab/>
        <w:t>betrokkenen te trainen inzake kwesties op het gebied van de toegankelijkheid waarmee personen met een handicap geconfronteerd worden;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d.</w:t>
        <w:tab/>
        <w:t>openbare gebouwen en andere faciliteiten te voorzien van bewegwijzering in braille en in makkelijk te lezen en te begrijpen vormen;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e.</w:t>
        <w:tab/>
        <w:t>te voorzien in vormen van hulp en bemiddeling door mensen, met inbegrip van begeleiders, mensen die voorlezen en professionele doventolken om de toegang tot gebouwen en andere faciliteiten, die openstaan voor het publiek te faciliteren;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f.</w:t>
        <w:tab/>
        <w:t>andere passende vormen van hulp en ondersteuning aan personen met een handicap te bevorderen, teneinde te waarborgen dat zij toegang hebben tot informatie;</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g.</w:t>
        <w:tab/>
        <w:t>de toegang voor personen met een handicap tot nieuwe informatie- en communicatietechnologieën en -systemen, met inbegrip van het internet, te bevorderen;</w:t>
      </w:r>
    </w:p>
    <w:p>
      <w:pPr>
        <w:pStyle w:val="Normal"/>
        <w:widowControl w:val="false"/>
        <w:spacing w:lineRule="auto" w:line="240" w:before="0" w:after="0"/>
        <w:ind w:left="640" w:hanging="320"/>
        <w:rPr>
          <w:rFonts w:ascii="Arial" w:hAnsi="Arial" w:cs="Arial"/>
          <w:sz w:val="20"/>
          <w:szCs w:val="20"/>
        </w:rPr>
      </w:pPr>
      <w:r>
        <w:rPr>
          <w:rFonts w:cs="Arial" w:ascii="Arial" w:hAnsi="Arial"/>
          <w:sz w:val="20"/>
          <w:szCs w:val="20"/>
        </w:rPr>
        <w:t>h.</w:t>
        <w:tab/>
        <w:t>het ontwerp, de ontwikkeling, productie en distributie van toegankelijke informatie- en communicatietechnologieën, en communicatiesystemen in een vroeg stadium te bevorderen, opdat deze technologieën en systemen tegen minimale kosten toegankelijk worden.</w:t>
      </w:r>
    </w:p>
    <w:p>
      <w:pPr>
        <w:pStyle w:val="Normal"/>
        <w:widowControl/>
        <w:bidi w:val="0"/>
        <w:spacing w:lineRule="auto" w:line="276" w:before="0" w:after="200"/>
        <w:jc w:val="left"/>
        <w:rPr/>
      </w:pPr>
      <w:r>
        <w:rPr/>
      </w:r>
    </w:p>
    <w:sectPr>
      <w:type w:val="nextPage"/>
      <w:pgSz w:w="11906" w:h="16838"/>
      <w:pgMar w:left="1134" w:right="1134" w:header="0" w:top="56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Kop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164"/>
    <w:pPr>
      <w:widowControl/>
      <w:bidi w:val="0"/>
      <w:spacing w:lineRule="auto" w:line="276" w:before="0" w:after="200"/>
      <w:jc w:val="left"/>
    </w:pPr>
    <w:rPr>
      <w:rFonts w:ascii="Calibri" w:hAnsi="Calibri" w:eastAsia="" w:cs="" w:eastAsiaTheme="minorEastAsia"/>
      <w:color w:val="auto"/>
      <w:kern w:val="0"/>
      <w:sz w:val="22"/>
      <w:szCs w:val="22"/>
      <w:lang w:val="nl-NL" w:eastAsia="nl-NL" w:bidi="ar-SA"/>
    </w:rPr>
  </w:style>
  <w:style w:type="paragraph" w:styleId="Kop1">
    <w:name w:val="Heading 1"/>
    <w:basedOn w:val="Kop"/>
    <w:next w:val="Tekstblok"/>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Opsommingstekens">
    <w:name w:val="Opsommingstekens"/>
    <w:qFormat/>
    <w:rPr>
      <w:rFonts w:ascii="OpenSymbol" w:hAnsi="OpenSymbol" w:eastAsia="OpenSymbol" w:cs="OpenSymbol"/>
    </w:rPr>
  </w:style>
  <w:style w:type="character" w:styleId="Geaccentueerd">
    <w:name w:val="Geaccentueerd"/>
    <w:qFormat/>
    <w:rPr>
      <w:i/>
      <w:iC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1b3a74"/>
    <w:pPr>
      <w:widowControl/>
      <w:bidi w:val="0"/>
      <w:spacing w:lineRule="auto" w:line="240" w:before="0" w:after="0"/>
      <w:jc w:val="left"/>
    </w:pPr>
    <w:rPr>
      <w:rFonts w:ascii="Arial" w:hAnsi="Arial" w:eastAsia="Calibri" w:cs="" w:cstheme="minorBidi" w:eastAsiaTheme="minorHAnsi"/>
      <w:color w:val="auto"/>
      <w:kern w:val="0"/>
      <w:sz w:val="20"/>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LibreOffice/6.1.0.3$Windows_X86_64 LibreOffice_project/efb621ed25068d70781dc026f7e9c5187a4decd1</Application>
  <Pages>2</Pages>
  <Words>794</Words>
  <Characters>4734</Characters>
  <CharactersWithSpaces>5505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2018-07-11T09:38:00Z</dcterms:created>
  <dc:creator>Theunissen</dc:creator>
  <dc:description/>
  <dc:language>nl-NL</dc:language>
  <cp:lastModifiedBy/>
  <cp:lastPrinted>2018-08-08T13:25:44Z</cp:lastPrinted>
  <dcterms:modified xsi:type="dcterms:W3CDTF">2018-10-17T21:07:40Z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